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E3" w:rsidRPr="00B00659" w:rsidRDefault="00D8620B" w:rsidP="00B00659">
      <w:pPr>
        <w:pStyle w:val="20"/>
        <w:shd w:val="clear" w:color="auto" w:fill="auto"/>
        <w:spacing w:after="40"/>
        <w:ind w:left="0" w:firstLine="1134"/>
        <w:rPr>
          <w:sz w:val="24"/>
          <w:szCs w:val="24"/>
        </w:rPr>
      </w:pPr>
      <w:r w:rsidRPr="00B00659">
        <w:rPr>
          <w:b/>
          <w:bCs/>
          <w:sz w:val="24"/>
          <w:szCs w:val="24"/>
        </w:rPr>
        <w:t>ΕΛΛΗΝΙΚΗ ΔΗΜΟΚΡΑΤΙΑ</w:t>
      </w:r>
      <w:r w:rsidR="00B00659">
        <w:rPr>
          <w:b/>
          <w:bCs/>
          <w:sz w:val="24"/>
          <w:szCs w:val="24"/>
        </w:rPr>
        <w:t xml:space="preserve">                                 ΒΕΡΟΙΑ   9 ΝΟΕΜΒΡΙΟΥ 2020</w:t>
      </w:r>
    </w:p>
    <w:p w:rsidR="001009E3" w:rsidRPr="00B00659" w:rsidRDefault="00B00659" w:rsidP="00B00659">
      <w:pPr>
        <w:pStyle w:val="20"/>
        <w:shd w:val="clear" w:color="auto" w:fill="auto"/>
        <w:spacing w:after="40"/>
        <w:ind w:left="0"/>
        <w:rPr>
          <w:sz w:val="24"/>
          <w:szCs w:val="24"/>
        </w:rPr>
      </w:pPr>
      <w:r w:rsidRPr="00B00659">
        <w:rPr>
          <w:b/>
          <w:bCs/>
          <w:sz w:val="24"/>
          <w:szCs w:val="24"/>
        </w:rPr>
        <w:t xml:space="preserve">                    </w:t>
      </w:r>
      <w:r w:rsidR="00D8620B" w:rsidRPr="00B00659">
        <w:rPr>
          <w:b/>
          <w:bCs/>
          <w:sz w:val="24"/>
          <w:szCs w:val="24"/>
        </w:rPr>
        <w:t xml:space="preserve">ΠΡΩΤΟΔΙΚΕΙΟ </w:t>
      </w:r>
      <w:r w:rsidR="003E4E74" w:rsidRPr="00B00659">
        <w:rPr>
          <w:b/>
          <w:bCs/>
          <w:sz w:val="24"/>
          <w:szCs w:val="24"/>
        </w:rPr>
        <w:t>ΒΕΡΟΙΑΣ</w:t>
      </w:r>
    </w:p>
    <w:p w:rsidR="001009E3" w:rsidRPr="00B00659" w:rsidRDefault="00B00659" w:rsidP="00B00659">
      <w:pPr>
        <w:pStyle w:val="40"/>
        <w:shd w:val="clear" w:color="auto" w:fill="auto"/>
        <w:ind w:firstLine="1134"/>
        <w:rPr>
          <w:sz w:val="24"/>
          <w:szCs w:val="24"/>
        </w:rPr>
      </w:pPr>
      <w:r w:rsidRPr="00B00659">
        <w:rPr>
          <w:sz w:val="24"/>
          <w:szCs w:val="24"/>
        </w:rPr>
        <w:t xml:space="preserve">         </w:t>
      </w:r>
      <w:r w:rsidR="003E4E74" w:rsidRPr="00B00659">
        <w:rPr>
          <w:sz w:val="24"/>
          <w:szCs w:val="24"/>
        </w:rPr>
        <w:t>ΠΡΟΕΔΡΟΣ</w:t>
      </w:r>
    </w:p>
    <w:p w:rsidR="001009E3" w:rsidRDefault="001009E3">
      <w:pPr>
        <w:spacing w:line="193" w:lineRule="exact"/>
        <w:rPr>
          <w:sz w:val="16"/>
          <w:szCs w:val="16"/>
        </w:rPr>
      </w:pPr>
    </w:p>
    <w:p w:rsidR="001009E3" w:rsidRDefault="001009E3">
      <w:pPr>
        <w:spacing w:line="1" w:lineRule="exact"/>
        <w:sectPr w:rsidR="001009E3">
          <w:type w:val="continuous"/>
          <w:pgSz w:w="11900" w:h="16840"/>
          <w:pgMar w:top="1573" w:right="0" w:bottom="1378" w:left="0" w:header="0" w:footer="3" w:gutter="0"/>
          <w:cols w:space="720"/>
          <w:noEndnote/>
          <w:docGrid w:linePitch="360"/>
        </w:sectPr>
      </w:pPr>
    </w:p>
    <w:p w:rsidR="001009E3" w:rsidRDefault="00D8620B">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4756785</wp:posOffset>
                </wp:positionH>
                <wp:positionV relativeFrom="paragraph">
                  <wp:posOffset>12700</wp:posOffset>
                </wp:positionV>
                <wp:extent cx="1450975" cy="1981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50975" cy="198120"/>
                        </a:xfrm>
                        <a:prstGeom prst="rect">
                          <a:avLst/>
                        </a:prstGeom>
                        <a:noFill/>
                      </wps:spPr>
                      <wps:txbx>
                        <w:txbxContent>
                          <w:p w:rsidR="001009E3" w:rsidRDefault="001009E3">
                            <w:pPr>
                              <w:pStyle w:val="1"/>
                              <w:shd w:val="clear" w:color="auto" w:fill="auto"/>
                              <w:spacing w:after="0" w:line="240" w:lineRule="auto"/>
                              <w:ind w:firstLine="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74.55pt;margin-top:1pt;width:114.25pt;height:15.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" filled="f" stroked="f">
                <v:textbox inset="0,0,0,0">
                  <w:txbxContent>
                    <w:p w:rsidR="001009E3" w:rsidRDefault="001009E3">
                      <w:pPr>
                        <w:pStyle w:val="1"/>
                        <w:shd w:val="clear" w:color="auto" w:fill="auto"/>
                        <w:spacing w:after="0" w:line="240" w:lineRule="auto"/>
                        <w:ind w:firstLine="0"/>
                      </w:pPr>
                    </w:p>
                  </w:txbxContent>
                </v:textbox>
                <w10:wrap type="square" side="left" anchorx="page"/>
              </v:shape>
            </w:pict>
          </mc:Fallback>
        </mc:AlternateContent>
      </w:r>
    </w:p>
    <w:p w:rsidR="001009E3" w:rsidRPr="003E4E74" w:rsidRDefault="00576004">
      <w:pPr>
        <w:pStyle w:val="30"/>
        <w:shd w:val="clear" w:color="auto" w:fill="auto"/>
        <w:spacing w:after="0"/>
        <w:ind w:left="0"/>
        <w:jc w:val="both"/>
        <w:rPr>
          <w:sz w:val="18"/>
          <w:szCs w:val="18"/>
        </w:rPr>
      </w:pPr>
      <w:r>
        <w:rPr>
          <w:sz w:val="18"/>
          <w:szCs w:val="18"/>
        </w:rPr>
        <w:t xml:space="preserve">  </w:t>
      </w:r>
      <w:r w:rsidR="00D8620B" w:rsidRPr="003E4E74">
        <w:rPr>
          <w:sz w:val="18"/>
          <w:szCs w:val="18"/>
        </w:rPr>
        <w:t>Τ</w:t>
      </w:r>
      <w:r w:rsidR="003E4E74" w:rsidRPr="003E4E74">
        <w:rPr>
          <w:sz w:val="18"/>
          <w:szCs w:val="18"/>
        </w:rPr>
        <w:t>αχ. Δ/νση : 1</w:t>
      </w:r>
      <w:r w:rsidR="003E4E74" w:rsidRPr="003E4E74">
        <w:rPr>
          <w:sz w:val="18"/>
          <w:szCs w:val="18"/>
          <w:vertAlign w:val="superscript"/>
        </w:rPr>
        <w:t>ο</w:t>
      </w:r>
      <w:r w:rsidR="003E4E74" w:rsidRPr="003E4E74">
        <w:rPr>
          <w:sz w:val="18"/>
          <w:szCs w:val="18"/>
        </w:rPr>
        <w:t xml:space="preserve">  ΧΛΜ ΒΕΡΟΙΑΣ – ΑΓ. ΒΑΡΑΒΑΡΑΣ</w:t>
      </w:r>
    </w:p>
    <w:p w:rsidR="001009E3" w:rsidRPr="003E4E74" w:rsidRDefault="00576004">
      <w:pPr>
        <w:pStyle w:val="30"/>
        <w:shd w:val="clear" w:color="auto" w:fill="auto"/>
        <w:spacing w:after="0"/>
        <w:ind w:left="1020"/>
        <w:rPr>
          <w:sz w:val="18"/>
          <w:szCs w:val="18"/>
        </w:rPr>
      </w:pPr>
      <w:r>
        <w:rPr>
          <w:sz w:val="18"/>
          <w:szCs w:val="18"/>
        </w:rPr>
        <w:t xml:space="preserve"> </w:t>
      </w:r>
      <w:r w:rsidR="003E4E74" w:rsidRPr="003E4E74">
        <w:rPr>
          <w:sz w:val="18"/>
          <w:szCs w:val="18"/>
        </w:rPr>
        <w:t>Τ.Κ. 59100</w:t>
      </w:r>
    </w:p>
    <w:p w:rsidR="001009E3" w:rsidRPr="003E4E74" w:rsidRDefault="00576004">
      <w:pPr>
        <w:pStyle w:val="30"/>
        <w:shd w:val="clear" w:color="auto" w:fill="auto"/>
        <w:spacing w:after="360"/>
        <w:ind w:left="0"/>
        <w:rPr>
          <w:sz w:val="18"/>
          <w:szCs w:val="18"/>
        </w:rPr>
      </w:pPr>
      <w:r>
        <w:rPr>
          <w:sz w:val="18"/>
          <w:szCs w:val="18"/>
        </w:rPr>
        <w:t xml:space="preserve">  </w:t>
      </w:r>
      <w:r w:rsidR="007673E6">
        <w:rPr>
          <w:sz w:val="18"/>
          <w:szCs w:val="18"/>
        </w:rPr>
        <w:t xml:space="preserve"> Τηλέφωνο</w:t>
      </w:r>
      <w:r w:rsidR="003E4E74" w:rsidRPr="003E4E74">
        <w:rPr>
          <w:sz w:val="18"/>
          <w:szCs w:val="18"/>
        </w:rPr>
        <w:t xml:space="preserve"> : 2331032807</w:t>
      </w:r>
    </w:p>
    <w:p w:rsidR="003E4E74" w:rsidRPr="003E4E74" w:rsidRDefault="003E4E74" w:rsidP="003E4E74">
      <w:pPr>
        <w:pStyle w:val="1"/>
        <w:shd w:val="clear" w:color="auto" w:fill="auto"/>
        <w:spacing w:after="100" w:line="391" w:lineRule="auto"/>
        <w:ind w:firstLine="940"/>
        <w:jc w:val="center"/>
        <w:rPr>
          <w:b/>
        </w:rPr>
      </w:pPr>
      <w:r w:rsidRPr="003E4E74">
        <w:rPr>
          <w:b/>
        </w:rPr>
        <w:t xml:space="preserve">ΠΡΑΞΗ   </w:t>
      </w:r>
      <w:r w:rsidR="007673E6">
        <w:rPr>
          <w:b/>
        </w:rPr>
        <w:t xml:space="preserve">   455</w:t>
      </w:r>
      <w:r w:rsidRPr="003E4E74">
        <w:rPr>
          <w:b/>
        </w:rPr>
        <w:t xml:space="preserve">    /2020</w:t>
      </w:r>
    </w:p>
    <w:p w:rsidR="003E4E74" w:rsidRPr="003E4E74" w:rsidRDefault="003E4E74" w:rsidP="003E4E74">
      <w:pPr>
        <w:pStyle w:val="1"/>
        <w:shd w:val="clear" w:color="auto" w:fill="auto"/>
        <w:spacing w:after="100" w:line="391" w:lineRule="auto"/>
        <w:ind w:firstLine="940"/>
        <w:jc w:val="center"/>
        <w:rPr>
          <w:b/>
        </w:rPr>
      </w:pPr>
      <w:r w:rsidRPr="003E4E74">
        <w:rPr>
          <w:b/>
        </w:rPr>
        <w:t>Ο ΠΡΟΪΣΤΑΜΕΝΟΣ ΤΟΥ ΠΡΩΤΟΔΙΚΕΙΟΥ ΒΕΡΟΙΑΣ</w:t>
      </w:r>
    </w:p>
    <w:p w:rsidR="003E4E74" w:rsidRPr="003E4E74" w:rsidRDefault="003E4E74" w:rsidP="003E4E74">
      <w:pPr>
        <w:pStyle w:val="1"/>
        <w:shd w:val="clear" w:color="auto" w:fill="auto"/>
        <w:spacing w:after="100" w:line="391" w:lineRule="auto"/>
        <w:ind w:firstLine="940"/>
        <w:jc w:val="center"/>
        <w:rPr>
          <w:b/>
        </w:rPr>
      </w:pPr>
      <w:r w:rsidRPr="003E4E74">
        <w:rPr>
          <w:b/>
        </w:rPr>
        <w:t>ΓΕΩΡΓΙΟΣ  ΣΤΙΒΑΚΤΑΚΗΣ</w:t>
      </w:r>
    </w:p>
    <w:p w:rsidR="003E4E74" w:rsidRDefault="003E4E74">
      <w:pPr>
        <w:pStyle w:val="1"/>
        <w:shd w:val="clear" w:color="auto" w:fill="auto"/>
        <w:spacing w:after="100" w:line="391" w:lineRule="auto"/>
        <w:ind w:firstLine="940"/>
        <w:jc w:val="both"/>
      </w:pPr>
    </w:p>
    <w:p w:rsidR="001009E3" w:rsidRDefault="00964B20" w:rsidP="006F08BA">
      <w:pPr>
        <w:pStyle w:val="1"/>
        <w:shd w:val="clear" w:color="auto" w:fill="auto"/>
        <w:tabs>
          <w:tab w:val="left" w:pos="1134"/>
        </w:tabs>
        <w:spacing w:after="100" w:line="391" w:lineRule="auto"/>
        <w:ind w:left="1134" w:right="461" w:firstLine="284"/>
        <w:jc w:val="both"/>
        <w:rPr>
          <w:sz w:val="20"/>
          <w:szCs w:val="20"/>
        </w:rPr>
      </w:pPr>
      <w:r>
        <w:t xml:space="preserve">Αφού έλαβε υπόψη του </w:t>
      </w:r>
      <w:r w:rsidR="00D8620B">
        <w:t xml:space="preserve"> την με αριθμό </w:t>
      </w:r>
      <w:r w:rsidR="00D8620B">
        <w:rPr>
          <w:b/>
          <w:bCs/>
          <w:sz w:val="20"/>
          <w:szCs w:val="20"/>
          <w:u w:val="single"/>
        </w:rPr>
        <w:t>4899 (ΦΕΚ Β706-11-2020) ΚΥΑ</w:t>
      </w:r>
      <w:r w:rsidR="00D8620B">
        <w:rPr>
          <w:b/>
          <w:bCs/>
          <w:sz w:val="20"/>
          <w:szCs w:val="20"/>
        </w:rPr>
        <w:t xml:space="preserve">: «Έκτακτα μέτρα προστασίας της δημόσιας υγείας από τον κίνδυνο περαιτέρω διασποράς του κορωνοϊού </w:t>
      </w:r>
      <w:r w:rsidR="00D8620B">
        <w:rPr>
          <w:b/>
          <w:bCs/>
          <w:sz w:val="20"/>
          <w:szCs w:val="20"/>
          <w:lang w:val="en-US" w:eastAsia="en-US" w:bidi="en-US"/>
        </w:rPr>
        <w:t>COVID</w:t>
      </w:r>
      <w:r w:rsidR="00D8620B" w:rsidRPr="003E4E74">
        <w:rPr>
          <w:b/>
          <w:bCs/>
          <w:sz w:val="20"/>
          <w:szCs w:val="20"/>
          <w:lang w:eastAsia="en-US" w:bidi="en-US"/>
        </w:rPr>
        <w:t xml:space="preserve">-19 </w:t>
      </w:r>
      <w:r w:rsidR="00D8620B">
        <w:rPr>
          <w:b/>
          <w:bCs/>
          <w:sz w:val="20"/>
          <w:szCs w:val="20"/>
        </w:rPr>
        <w:t>στο σύνολο της Επικράτειας για το διάστημα από το Σάββατο, 7 Νοεμβρίου 2020 έως και τη Δευτέρα, 30 Νοεμβρίου 2020»:</w:t>
      </w:r>
    </w:p>
    <w:p w:rsidR="001009E3" w:rsidRDefault="00D8620B" w:rsidP="006F08BA">
      <w:pPr>
        <w:pStyle w:val="1"/>
        <w:shd w:val="clear" w:color="auto" w:fill="auto"/>
        <w:tabs>
          <w:tab w:val="left" w:pos="1134"/>
        </w:tabs>
        <w:spacing w:after="100" w:line="382" w:lineRule="auto"/>
        <w:ind w:left="1134" w:right="461" w:firstLine="284"/>
        <w:jc w:val="both"/>
      </w:pPr>
      <w:r>
        <w:rPr>
          <w:i/>
          <w:iCs/>
        </w:rPr>
        <w:t>«...5α) Αναστέλλονται προσωρινά:</w:t>
      </w:r>
    </w:p>
    <w:p w:rsidR="001009E3" w:rsidRDefault="00D8620B" w:rsidP="006F08BA">
      <w:pPr>
        <w:pStyle w:val="1"/>
        <w:shd w:val="clear" w:color="auto" w:fill="auto"/>
        <w:tabs>
          <w:tab w:val="left" w:pos="1134"/>
        </w:tabs>
        <w:spacing w:after="100" w:line="382" w:lineRule="auto"/>
        <w:ind w:left="1134" w:right="461" w:firstLine="284"/>
        <w:jc w:val="both"/>
      </w:pPr>
      <w:r>
        <w:rPr>
          <w:i/>
          <w:iCs/>
        </w:rPr>
        <w:t>αα) Οι δίκες ενώπιον των πολιτικών και ποινικών δικαστηρίων,</w:t>
      </w:r>
    </w:p>
    <w:p w:rsidR="001009E3" w:rsidRDefault="00D8620B" w:rsidP="006F08BA">
      <w:pPr>
        <w:pStyle w:val="1"/>
        <w:shd w:val="clear" w:color="auto" w:fill="auto"/>
        <w:tabs>
          <w:tab w:val="left" w:pos="1134"/>
        </w:tabs>
        <w:spacing w:after="100"/>
        <w:ind w:left="1134" w:right="461" w:firstLine="284"/>
        <w:jc w:val="both"/>
      </w:pPr>
      <w:r>
        <w:rPr>
          <w:i/>
          <w:iCs/>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1009E3" w:rsidRDefault="00D8620B" w:rsidP="006F08BA">
      <w:pPr>
        <w:pStyle w:val="1"/>
        <w:shd w:val="clear" w:color="auto" w:fill="auto"/>
        <w:tabs>
          <w:tab w:val="left" w:pos="1134"/>
        </w:tabs>
        <w:spacing w:after="100" w:line="386" w:lineRule="auto"/>
        <w:ind w:left="1134" w:right="461" w:firstLine="284"/>
        <w:jc w:val="both"/>
      </w:pPr>
      <w:r>
        <w:rPr>
          <w:i/>
          <w:iCs/>
        </w:rPr>
        <w:t>αγ) οι, κατά τις κείμενες διατάξεις, διαδικασίες αναγκαστικής εκτέλεσης και της διενέργειας πλειστηριασμών.</w:t>
      </w:r>
    </w:p>
    <w:p w:rsidR="001009E3" w:rsidRDefault="00D8620B" w:rsidP="006F08BA">
      <w:pPr>
        <w:pStyle w:val="1"/>
        <w:shd w:val="clear" w:color="auto" w:fill="auto"/>
        <w:tabs>
          <w:tab w:val="left" w:pos="1134"/>
        </w:tabs>
        <w:spacing w:after="100" w:line="382" w:lineRule="auto"/>
        <w:ind w:left="1134" w:right="461" w:firstLine="284"/>
      </w:pPr>
      <w:r>
        <w:rPr>
          <w:i/>
          <w:iCs/>
        </w:rPr>
        <w:t>β) Εξαιρούνται από την εφαρμογή της περ. α):</w:t>
      </w:r>
    </w:p>
    <w:p w:rsidR="001009E3" w:rsidRDefault="00D8620B" w:rsidP="006F08BA">
      <w:pPr>
        <w:pStyle w:val="1"/>
        <w:shd w:val="clear" w:color="auto" w:fill="auto"/>
        <w:tabs>
          <w:tab w:val="left" w:pos="1134"/>
        </w:tabs>
        <w:spacing w:after="100" w:line="382" w:lineRule="auto"/>
        <w:ind w:left="1134" w:right="461" w:firstLine="284"/>
        <w:jc w:val="both"/>
      </w:pPr>
      <w:r>
        <w:rPr>
          <w:i/>
          <w:iCs/>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Εξαιρούνται επίσης ως προς τις υποθέσεις που έχουν συζητηθεί έως και τις 6-11-2020, οι δικονομικές προθεσμίες κατάθεσης προσθήκης-αντίκρουσης τόσο στην τακτική όσο και στις ειδικές διαδικασίες καθώς επίσης και κατάθεσης σημειώματος στην διαδικασία των ασφαλιστικών μέτρων (...).</w:t>
      </w:r>
    </w:p>
    <w:p w:rsidR="001009E3" w:rsidRDefault="00D8620B" w:rsidP="006F08BA">
      <w:pPr>
        <w:pStyle w:val="1"/>
        <w:shd w:val="clear" w:color="auto" w:fill="auto"/>
        <w:tabs>
          <w:tab w:val="left" w:pos="1134"/>
        </w:tabs>
        <w:spacing w:after="100" w:line="386" w:lineRule="auto"/>
        <w:ind w:left="1134" w:right="461" w:firstLine="284"/>
        <w:jc w:val="both"/>
      </w:pPr>
      <w:r>
        <w:rPr>
          <w:i/>
          <w:iCs/>
        </w:rPr>
        <w:t xml:space="preserve">ββ) Οι δίκες της τακτικής διαδικασίας που εκδικάζονται σύμφωνα με τις διατάξεις του ν. 4335/2015: Νέα Τακτική Διαδικασία Πολυμελούς και </w:t>
      </w:r>
      <w:r>
        <w:rPr>
          <w:i/>
          <w:iCs/>
        </w:rPr>
        <w:lastRenderedPageBreak/>
        <w:t>Μονομελούς Πρωτοδικείου.</w:t>
      </w:r>
    </w:p>
    <w:p w:rsidR="001009E3" w:rsidRDefault="00D8620B" w:rsidP="006F08BA">
      <w:pPr>
        <w:pStyle w:val="1"/>
        <w:shd w:val="clear" w:color="auto" w:fill="auto"/>
        <w:tabs>
          <w:tab w:val="left" w:pos="1134"/>
          <w:tab w:val="left" w:pos="7513"/>
        </w:tabs>
        <w:spacing w:after="220"/>
        <w:ind w:left="1134" w:right="461" w:firstLine="284"/>
        <w:jc w:val="both"/>
      </w:pPr>
      <w:r>
        <w:rPr>
          <w:i/>
          <w:iCs/>
        </w:rPr>
        <w:t>βγ) Όλες οι δίκες ενώπιον των πολιτικών δικαστηρίων που συζητούνται χωρίς εξέταση μαρτύρων. Στις περιπτώσεις αυτές λαμβάνει χώρας την προτεραία της δικασίμου έγγραφη δήλωση των πληρεξουσίων δικηγόρων των διαδίκων, η οποία κοινοποιείται στις γραμματείες των δικαστηρίων με την χρήση ηλεκτρονικής αλληλογραφίας, ότι η συγκεκριμένη υπόθεση θα εκδικασθεί χωρίς την εξέταση μαρτύρων.</w:t>
      </w:r>
    </w:p>
    <w:p w:rsidR="001009E3" w:rsidRDefault="00D8620B" w:rsidP="006F08BA">
      <w:pPr>
        <w:pStyle w:val="1"/>
        <w:shd w:val="clear" w:color="auto" w:fill="auto"/>
        <w:tabs>
          <w:tab w:val="left" w:pos="1134"/>
        </w:tabs>
        <w:spacing w:after="220" w:line="382" w:lineRule="auto"/>
        <w:ind w:left="1134" w:right="461" w:firstLine="284"/>
        <w:jc w:val="both"/>
      </w:pPr>
      <w:r>
        <w:rPr>
          <w:i/>
          <w:iCs/>
        </w:rPr>
        <w:t>βδ)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(π.δ. 503/1985, Α’ 182), Ευρωπαϊκή διαταγή δέσμευσης λογαριασμού κατ’ άρθρο 738Α ΚΠολΔ, τις ανακλήσεις αυτών, καθώς και τις σχετικές με αυτές διαφορές του άρθρου 702 ΚΠολΔ.</w:t>
      </w:r>
    </w:p>
    <w:p w:rsidR="001009E3" w:rsidRDefault="00D8620B" w:rsidP="006F08BA">
      <w:pPr>
        <w:pStyle w:val="1"/>
        <w:shd w:val="clear" w:color="auto" w:fill="auto"/>
        <w:tabs>
          <w:tab w:val="left" w:pos="1134"/>
        </w:tabs>
        <w:spacing w:after="220" w:line="386" w:lineRule="auto"/>
        <w:ind w:left="1134" w:right="461" w:firstLine="284"/>
        <w:jc w:val="both"/>
      </w:pPr>
      <w:r>
        <w:rPr>
          <w:i/>
          <w:iCs/>
        </w:rPr>
        <w:t>βε) Οι δίκες εκούσιας δικαιοδοσίας, που έχουν ως αντικείμενο τη θέση σε δικαστική συμπαράσταση σύμφωνα με τα οριζόμενα στα άρθρα 801 επ. ΚΠολΔ.</w:t>
      </w:r>
    </w:p>
    <w:p w:rsidR="001009E3" w:rsidRDefault="00D8620B" w:rsidP="006F08BA">
      <w:pPr>
        <w:pStyle w:val="1"/>
        <w:shd w:val="clear" w:color="auto" w:fill="auto"/>
        <w:tabs>
          <w:tab w:val="left" w:pos="1134"/>
        </w:tabs>
        <w:spacing w:after="220" w:line="382" w:lineRule="auto"/>
        <w:ind w:left="1134" w:right="461" w:firstLine="284"/>
        <w:jc w:val="both"/>
      </w:pPr>
      <w:r>
        <w:rPr>
          <w:i/>
          <w:iCs/>
        </w:rPr>
        <w:t>βστ)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1009E3" w:rsidRDefault="00D8620B" w:rsidP="006F08BA">
      <w:pPr>
        <w:pStyle w:val="1"/>
        <w:shd w:val="clear" w:color="auto" w:fill="auto"/>
        <w:tabs>
          <w:tab w:val="left" w:pos="1134"/>
        </w:tabs>
        <w:spacing w:after="100" w:line="391" w:lineRule="auto"/>
        <w:ind w:left="1134" w:right="461" w:firstLine="284"/>
        <w:jc w:val="both"/>
      </w:pPr>
      <w:r>
        <w:rPr>
          <w:i/>
          <w:iCs/>
        </w:rPr>
        <w:t>βζ) η εκδίκαση αυτόφωρων πλημμελημάτων, εφόσον αφορά κατηγορούμενο που κρατείται (...).</w:t>
      </w:r>
    </w:p>
    <w:p w:rsidR="001009E3" w:rsidRDefault="00D8620B" w:rsidP="006F08BA">
      <w:pPr>
        <w:pStyle w:val="1"/>
        <w:shd w:val="clear" w:color="auto" w:fill="auto"/>
        <w:tabs>
          <w:tab w:val="left" w:pos="1134"/>
        </w:tabs>
        <w:spacing w:after="220" w:line="382" w:lineRule="auto"/>
        <w:ind w:left="1134" w:right="461" w:firstLine="284"/>
        <w:jc w:val="both"/>
      </w:pPr>
      <w:r>
        <w:rPr>
          <w:i/>
          <w:iCs/>
        </w:rPr>
        <w:t>βη) η κλήρωση των ενόρκων και η έναρξη της συνόδου των ΜΟΔ και ΜΟΕ (...).</w:t>
      </w:r>
    </w:p>
    <w:p w:rsidR="001009E3" w:rsidRDefault="00D8620B" w:rsidP="006F08BA">
      <w:pPr>
        <w:pStyle w:val="1"/>
        <w:shd w:val="clear" w:color="auto" w:fill="auto"/>
        <w:tabs>
          <w:tab w:val="left" w:pos="1134"/>
        </w:tabs>
        <w:spacing w:after="100" w:line="382" w:lineRule="auto"/>
        <w:ind w:left="1134" w:right="461" w:firstLine="284"/>
        <w:jc w:val="both"/>
      </w:pPr>
      <w:r>
        <w:rPr>
          <w:i/>
          <w:iCs/>
        </w:rPr>
        <w:t>βι) η κλήρωση των συνθέσεων για την εκδίκαση των ποινικών υποθέσεων και των υποθέσεων ασφαλιστικών μέτρων.</w:t>
      </w:r>
    </w:p>
    <w:p w:rsidR="001009E3" w:rsidRDefault="00D8620B" w:rsidP="006F08BA">
      <w:pPr>
        <w:pStyle w:val="1"/>
        <w:shd w:val="clear" w:color="auto" w:fill="auto"/>
        <w:tabs>
          <w:tab w:val="left" w:pos="1134"/>
        </w:tabs>
        <w:spacing w:after="100" w:line="374" w:lineRule="auto"/>
        <w:ind w:left="1134" w:right="461" w:firstLine="284"/>
        <w:jc w:val="both"/>
      </w:pPr>
      <w:r>
        <w:rPr>
          <w:i/>
          <w:iCs/>
        </w:rPr>
        <w:t>βθ) η εκδίκαση κακουργημάτων για τους προσωρινά κρατούμενους κατηγορούμενους (...).</w:t>
      </w:r>
    </w:p>
    <w:p w:rsidR="001009E3" w:rsidRDefault="00D8620B" w:rsidP="006F08BA">
      <w:pPr>
        <w:pStyle w:val="1"/>
        <w:shd w:val="clear" w:color="auto" w:fill="auto"/>
        <w:tabs>
          <w:tab w:val="left" w:pos="1134"/>
        </w:tabs>
        <w:spacing w:after="220" w:line="382" w:lineRule="auto"/>
        <w:ind w:left="1134" w:right="461" w:firstLine="284"/>
        <w:jc w:val="both"/>
      </w:pPr>
      <w:r>
        <w:rPr>
          <w:i/>
          <w:iCs/>
        </w:rPr>
        <w:t xml:space="preserve">βι) οι ποινικές δίκες που αφορούν κακουργήματα, ο χρόνος παραγραφής των </w:t>
      </w:r>
      <w:r>
        <w:rPr>
          <w:i/>
          <w:iCs/>
        </w:rPr>
        <w:lastRenderedPageBreak/>
        <w:t>οποίων συμπληρώνεται εντός του χρονικού διαστήματος από την έναρξη της αναστολής μέχρι και τις 31-12-2022 καθώς και πλημμελήματα, ο χρόνος παραγραφής των οποίων συμπληρώνεται εντός του χρονικού διαστήματος από την έναρξη της αναστολής μέχρι και τις 31-12-2021. Το δικαστήριο αποφασίζει κατά περίπτωση για την εκδίκαση ή την διακοπή αυτών.</w:t>
      </w:r>
    </w:p>
    <w:p w:rsidR="001009E3" w:rsidRDefault="00D8620B" w:rsidP="006F08BA">
      <w:pPr>
        <w:pStyle w:val="1"/>
        <w:shd w:val="clear" w:color="auto" w:fill="auto"/>
        <w:tabs>
          <w:tab w:val="left" w:pos="1134"/>
        </w:tabs>
        <w:spacing w:after="100" w:line="382" w:lineRule="auto"/>
        <w:ind w:left="1134" w:right="461" w:firstLine="284"/>
        <w:jc w:val="both"/>
      </w:pPr>
      <w:r>
        <w:rPr>
          <w:i/>
          <w:iCs/>
        </w:rPr>
        <w:t>βια) η εκδίκαση των αιτήσεων αναστολής εκτέλεσης κατά τα άρθρα 471 και 497 ΚΠΔ, ακύρωσης της διαδικασίας κατά τα άρθρα 341 και 435 ΚΠΔ, ακύρωσης της απόφασης κατά τα άρθρα 430 και 431 ΚΠΔ, αναβολής ή διακοπής εκτέλεσης ποινής κατά τα άρθρα 555 και 557 ΚΠΔ καθώς και των αιτήσεων που αφορούν στον καθορισμό συνολικής ποινής κατ’ άρθρο 551 ΚΠΔ, στην απότιση χρηματικής ποινής σε δόσεις εντός προθεσμίας κατ’ άρθρο 80 ισχύοντος ΠΚ και 82 προϊσχύσαντος ΠΚ και στην μετατροπή της χρηματικής ποινής ή του προστίμου σε παροχή κοινωνφελούς εργασίας κατ’ άρθρο 82 παρ. 5 προϊσχύσαντος ΠΚ.</w:t>
      </w:r>
    </w:p>
    <w:p w:rsidR="001009E3" w:rsidRDefault="00D8620B" w:rsidP="006F08BA">
      <w:pPr>
        <w:pStyle w:val="1"/>
        <w:shd w:val="clear" w:color="auto" w:fill="auto"/>
        <w:tabs>
          <w:tab w:val="left" w:pos="1134"/>
        </w:tabs>
        <w:spacing w:after="100"/>
        <w:ind w:left="1134" w:right="461" w:firstLine="284"/>
        <w:jc w:val="both"/>
      </w:pPr>
      <w:r>
        <w:rPr>
          <w:i/>
          <w:iCs/>
        </w:rPr>
        <w:t>βιβ) η δημοσίευση των αποφάσεων.</w:t>
      </w:r>
    </w:p>
    <w:p w:rsidR="001009E3" w:rsidRDefault="00D8620B" w:rsidP="006F08BA">
      <w:pPr>
        <w:pStyle w:val="1"/>
        <w:shd w:val="clear" w:color="auto" w:fill="auto"/>
        <w:tabs>
          <w:tab w:val="left" w:pos="1134"/>
        </w:tabs>
        <w:spacing w:after="640" w:line="382" w:lineRule="auto"/>
        <w:ind w:left="1134" w:right="461" w:firstLine="284"/>
        <w:jc w:val="both"/>
      </w:pPr>
      <w:r>
        <w:rPr>
          <w:i/>
          <w:iCs/>
        </w:rPr>
        <w:t>(...) 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1009E3" w:rsidRPr="00964B20" w:rsidRDefault="00964B20" w:rsidP="006F08BA">
      <w:pPr>
        <w:pStyle w:val="1"/>
        <w:shd w:val="clear" w:color="auto" w:fill="auto"/>
        <w:tabs>
          <w:tab w:val="left" w:pos="1134"/>
        </w:tabs>
        <w:spacing w:after="640"/>
        <w:ind w:left="1134" w:right="461" w:firstLine="284"/>
        <w:jc w:val="both"/>
        <w:rPr>
          <w:b/>
        </w:rPr>
      </w:pPr>
      <w:r w:rsidRPr="00964B20">
        <w:rPr>
          <w:b/>
          <w:u w:val="single"/>
        </w:rPr>
        <w:t xml:space="preserve"> ΑΠΟΦΑΣΙΖΕΙ  </w:t>
      </w:r>
      <w:r w:rsidR="00D8620B" w:rsidRPr="00964B20">
        <w:rPr>
          <w:b/>
          <w:u w:val="single"/>
        </w:rPr>
        <w:t xml:space="preserve"> ότι</w:t>
      </w:r>
      <w:r w:rsidR="00D8620B" w:rsidRPr="00964B20">
        <w:rPr>
          <w:b/>
        </w:rPr>
        <w:t>:</w:t>
      </w:r>
      <w:r w:rsidR="00F12EF8">
        <w:rPr>
          <w:b/>
        </w:rPr>
        <w:t xml:space="preserve"> </w:t>
      </w:r>
    </w:p>
    <w:p w:rsidR="00F12EF8" w:rsidRPr="00F12EF8" w:rsidRDefault="00964B20" w:rsidP="006F08BA">
      <w:pPr>
        <w:pStyle w:val="1"/>
        <w:numPr>
          <w:ilvl w:val="0"/>
          <w:numId w:val="1"/>
        </w:numPr>
        <w:shd w:val="clear" w:color="auto" w:fill="auto"/>
        <w:tabs>
          <w:tab w:val="left" w:pos="1134"/>
          <w:tab w:val="left" w:pos="1249"/>
        </w:tabs>
        <w:spacing w:after="0" w:line="406" w:lineRule="auto"/>
        <w:ind w:left="1134" w:right="461" w:firstLine="284"/>
        <w:jc w:val="both"/>
        <w:rPr>
          <w:sz w:val="20"/>
          <w:szCs w:val="20"/>
        </w:rPr>
      </w:pPr>
      <w:r>
        <w:t>Η γραμμα</w:t>
      </w:r>
      <w:r w:rsidR="00F12EF8">
        <w:t xml:space="preserve">τεία του τμήματος Προσδιορισμού θα λειτουργεί κανονικά  για κατάθεση δικογράφων όλων των διαδικασιών [Νέα Τακτική Διαδικασία,  Τακτική Διαδικασία, Ειδική Διαδικασία, Εκούσια Διαδικασία].  Επίσης και για την  κατάθεση προτάσεων (100 ημερών) και προσθηκών της </w:t>
      </w:r>
      <w:r w:rsidR="00D8620B">
        <w:t xml:space="preserve"> Νέας Τακτικής Μονομελο</w:t>
      </w:r>
      <w:r w:rsidR="00F12EF8">
        <w:t>ύς και Πολυμελούς.</w:t>
      </w:r>
    </w:p>
    <w:p w:rsidR="001009E3" w:rsidRPr="00F12EF8" w:rsidRDefault="00D8620B" w:rsidP="006F08BA">
      <w:pPr>
        <w:pStyle w:val="1"/>
        <w:numPr>
          <w:ilvl w:val="0"/>
          <w:numId w:val="1"/>
        </w:numPr>
        <w:shd w:val="clear" w:color="auto" w:fill="auto"/>
        <w:tabs>
          <w:tab w:val="left" w:pos="1134"/>
          <w:tab w:val="left" w:pos="1249"/>
        </w:tabs>
        <w:spacing w:after="0" w:line="406" w:lineRule="auto"/>
        <w:ind w:left="1134" w:right="461" w:firstLine="284"/>
        <w:jc w:val="both"/>
        <w:rPr>
          <w:sz w:val="20"/>
          <w:szCs w:val="20"/>
        </w:rPr>
      </w:pPr>
      <w:r>
        <w:t>Προς αποφυγή συνωστισμού</w:t>
      </w:r>
      <w:r w:rsidR="001D5A4D">
        <w:t>,</w:t>
      </w:r>
      <w:r>
        <w:t xml:space="preserve"> </w:t>
      </w:r>
      <w:r w:rsidR="001D5A4D">
        <w:t xml:space="preserve">η γραμματεία θα δέχεται </w:t>
      </w:r>
      <w:r>
        <w:t xml:space="preserve">για την κατάθεση </w:t>
      </w:r>
      <w:r w:rsidR="00F12EF8">
        <w:t xml:space="preserve">των ανωτέρω </w:t>
      </w:r>
      <w:r w:rsidR="001D5A4D">
        <w:t xml:space="preserve"> δικογράφων και την  κατάθεση  των προτάσεων  από τις </w:t>
      </w:r>
      <w:r w:rsidR="006B03FB">
        <w:t>08</w:t>
      </w:r>
      <w:r w:rsidR="001D5A4D">
        <w:t xml:space="preserve">:00 π.μ. έως τις </w:t>
      </w:r>
      <w:r w:rsidR="006B03FB">
        <w:t>14:3</w:t>
      </w:r>
      <w:r w:rsidR="001D5A4D">
        <w:t xml:space="preserve">0 μ.μ. με σειρά  αναμονής και τηρώντας την απόσταση </w:t>
      </w:r>
      <w:r w:rsidR="001D5A4D">
        <w:lastRenderedPageBreak/>
        <w:t>1,5 μέτρου</w:t>
      </w:r>
      <w:r w:rsidR="006B03FB">
        <w:t xml:space="preserve"> και </w:t>
      </w:r>
      <w:r w:rsidR="001D5A4D">
        <w:t xml:space="preserve"> φορώντας υποχρεωτικά </w:t>
      </w:r>
      <w:r w:rsidR="006B03FB">
        <w:t xml:space="preserve">μη ιατρική </w:t>
      </w:r>
      <w:r w:rsidR="001D5A4D">
        <w:t xml:space="preserve">μάσκα.   </w:t>
      </w:r>
      <w:r>
        <w:t xml:space="preserve"> </w:t>
      </w:r>
    </w:p>
    <w:p w:rsidR="00F12EF8" w:rsidRDefault="00F12EF8" w:rsidP="006F08BA">
      <w:pPr>
        <w:pStyle w:val="1"/>
        <w:numPr>
          <w:ilvl w:val="0"/>
          <w:numId w:val="1"/>
        </w:numPr>
        <w:shd w:val="clear" w:color="auto" w:fill="auto"/>
        <w:tabs>
          <w:tab w:val="left" w:pos="1134"/>
          <w:tab w:val="left" w:pos="1308"/>
        </w:tabs>
        <w:spacing w:after="0" w:line="406" w:lineRule="auto"/>
        <w:ind w:left="1134" w:right="461" w:firstLine="284"/>
        <w:jc w:val="both"/>
      </w:pPr>
      <w:r>
        <w:t>Η  γραμματεία θα εξυπηρετεί</w:t>
      </w:r>
      <w:r w:rsidR="00D8620B">
        <w:t xml:space="preserve"> κανονικά την κατάθεση προτάσεων και προσθηκών «παλαιός» τακτικής διαδικασίας (προκατάθεση 20 ημερών).</w:t>
      </w:r>
    </w:p>
    <w:p w:rsidR="001009E3" w:rsidRDefault="006B03FB" w:rsidP="006F08BA">
      <w:pPr>
        <w:pStyle w:val="1"/>
        <w:numPr>
          <w:ilvl w:val="0"/>
          <w:numId w:val="1"/>
        </w:numPr>
        <w:shd w:val="clear" w:color="auto" w:fill="auto"/>
        <w:tabs>
          <w:tab w:val="left" w:pos="1134"/>
          <w:tab w:val="left" w:pos="1308"/>
        </w:tabs>
        <w:spacing w:after="0" w:line="406" w:lineRule="auto"/>
        <w:ind w:left="1134" w:right="461" w:firstLine="284"/>
        <w:jc w:val="both"/>
      </w:pPr>
      <w:r>
        <w:t xml:space="preserve"> Όλες οι δίκες των πολιτικών δικαστηρίων [τακτικής διαδικασίας, που εκδικάζονται κατά τις διατάξεις του ν. 2915/2001 (Α΄, 109), ειδικής διαδικασίας</w:t>
      </w:r>
      <w:r w:rsidR="00043479">
        <w:t xml:space="preserve">, εκουσίας δικαιοδοσίας </w:t>
      </w:r>
      <w:r>
        <w:t>και εφέσεις)</w:t>
      </w:r>
      <w:r w:rsidR="00576004">
        <w:t xml:space="preserve">, που συζητούνται χωρίς εξέταση μαρτύρων, </w:t>
      </w:r>
      <w:r w:rsidR="00D8620B">
        <w:t>απαραίτητη προϋπόθεση για την εισαγωγή της υπόθεσης στο πινάκιο και τη συζήτηση αυτής σε πρώτο βαθμό είναι η αποστολή, την προτεραία της δικασίμου και έως την 12η μεσημβρινή, δήλωση των πληρεξουσίων δικηγόρων όλων των διαδίκων, η οποία κοινοποιείται στις επιμέρους γραμματείες μέσω ηλεκτρονικής αλληλογραφίας, ότι η συγκεκριμένη υπόθεση θα εκδικαστεί χωρίς εξέταση μαρτύρων. Η σχετική δήλωση πρέπε</w:t>
      </w:r>
      <w:r w:rsidR="001D5A4D">
        <w:t>ι να αναφέρει τον αριθμό  κατάθεσης</w:t>
      </w:r>
      <w:r w:rsidR="00D8620B">
        <w:t xml:space="preserve"> του εισαγωγικού δικογράφου, τον αρχικό αριθμό πινακίου, τα στοιχεία των διαδίκων και τα στοιχεία των πληρεξουσίων δικηγόρων. Εφόσον η σχετική δήλωση αποσταλεί, εμπροθέσμως και από το σύνολο των πληρεξουσίων όλων των διαδίκων, η υπόθεση θα ενταχθεί στο πινάκιο προς εκφώνηση. Προς τούτο, οι πληρεξούσιοι δικηγόροι θα πρέπει να φροντίζουν για τον έλεγχο των πινακίων και εφόσον η υπόθεση, που τους αφορά εισάγεται προς εκφώνηση κατόπιν έγκαιρης υποβολής των έγγραφων δηλώσεων για μη εξέταση μαρτύρων, θα πρέπει να παρίστανται νομίμως σύμφωνα με τα οριζόμενα στις διατάξεις του ΚΠολΔ προς αποφυγή ερημοδικίας.</w:t>
      </w:r>
    </w:p>
    <w:p w:rsidR="001D5A4D" w:rsidRDefault="001D5A4D" w:rsidP="006F08BA">
      <w:pPr>
        <w:pStyle w:val="1"/>
        <w:shd w:val="clear" w:color="auto" w:fill="auto"/>
        <w:tabs>
          <w:tab w:val="left" w:pos="1134"/>
        </w:tabs>
        <w:spacing w:after="220"/>
        <w:ind w:left="1134" w:right="461" w:firstLine="284"/>
        <w:jc w:val="both"/>
      </w:pPr>
    </w:p>
    <w:p w:rsidR="001009E3" w:rsidRDefault="00043479" w:rsidP="006F08BA">
      <w:pPr>
        <w:pStyle w:val="1"/>
        <w:numPr>
          <w:ilvl w:val="0"/>
          <w:numId w:val="1"/>
        </w:numPr>
        <w:shd w:val="clear" w:color="auto" w:fill="auto"/>
        <w:tabs>
          <w:tab w:val="left" w:pos="1134"/>
        </w:tabs>
        <w:spacing w:after="640" w:line="382" w:lineRule="auto"/>
        <w:ind w:left="1134" w:right="461" w:firstLine="284"/>
        <w:jc w:val="both"/>
      </w:pPr>
      <w:r>
        <w:t xml:space="preserve"> Γ</w:t>
      </w:r>
      <w:r w:rsidR="00D8620B">
        <w:t>ια τις υποθέσεις ασφαλιστικών μέτρων</w:t>
      </w:r>
      <w:r>
        <w:t xml:space="preserve"> επιτρέπεται  η κατάθεση όλων των υποθέσεων και θα εκδικάζονται </w:t>
      </w:r>
      <w:r w:rsidR="00D8620B">
        <w:t xml:space="preserve"> δικόγραφα αιτήσεων με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738Α ΚΠολΔ, τις ανακλήσεις αυτών, καθώς και τις σχετικές με αυτές διαφορές του άρθρου 702 ΚΠολΔ </w:t>
      </w:r>
      <w:r w:rsidR="006F08BA">
        <w:t>.</w:t>
      </w:r>
    </w:p>
    <w:p w:rsidR="00043479" w:rsidRDefault="00043479" w:rsidP="00043479">
      <w:pPr>
        <w:pStyle w:val="aa"/>
      </w:pPr>
    </w:p>
    <w:p w:rsidR="00043479" w:rsidRPr="00043479" w:rsidRDefault="00043479" w:rsidP="00043479">
      <w:pPr>
        <w:pStyle w:val="1"/>
        <w:numPr>
          <w:ilvl w:val="0"/>
          <w:numId w:val="1"/>
        </w:numPr>
        <w:shd w:val="clear" w:color="auto" w:fill="auto"/>
        <w:tabs>
          <w:tab w:val="left" w:pos="1134"/>
        </w:tabs>
        <w:spacing w:after="640" w:line="382" w:lineRule="auto"/>
        <w:ind w:left="1134" w:right="461" w:firstLine="284"/>
        <w:jc w:val="both"/>
      </w:pPr>
      <w:r w:rsidRPr="00043479">
        <w:t xml:space="preserve">Τα  αιτήματα προσωρινών διαταγών περί </w:t>
      </w:r>
      <w:r w:rsidRPr="00043479">
        <w:rPr>
          <w:iCs/>
        </w:rPr>
        <w:t xml:space="preserve">χορήγησης ή ανάκλησης </w:t>
      </w:r>
      <w:r w:rsidR="007673E6">
        <w:rPr>
          <w:iCs/>
        </w:rPr>
        <w:t xml:space="preserve"> αυτών </w:t>
      </w:r>
      <w:bookmarkStart w:id="0" w:name="_GoBack"/>
      <w:bookmarkEnd w:id="0"/>
      <w:r w:rsidR="00875616">
        <w:rPr>
          <w:iCs/>
        </w:rPr>
        <w:t xml:space="preserve">θα γίνονται </w:t>
      </w:r>
      <w:r w:rsidRPr="00043479">
        <w:rPr>
          <w:iCs/>
        </w:rPr>
        <w:t xml:space="preserve"> χωρίς κλήτευση του αντιδίκου.</w:t>
      </w:r>
    </w:p>
    <w:p w:rsidR="001009E3" w:rsidRDefault="00D8620B" w:rsidP="006F08BA">
      <w:pPr>
        <w:pStyle w:val="1"/>
        <w:numPr>
          <w:ilvl w:val="0"/>
          <w:numId w:val="1"/>
        </w:numPr>
        <w:shd w:val="clear" w:color="auto" w:fill="auto"/>
        <w:tabs>
          <w:tab w:val="left" w:pos="1134"/>
          <w:tab w:val="left" w:pos="1263"/>
        </w:tabs>
        <w:spacing w:after="640" w:line="401" w:lineRule="auto"/>
        <w:ind w:left="1134" w:right="461" w:firstLine="284"/>
        <w:jc w:val="both"/>
      </w:pPr>
      <w:r>
        <w:t>Η κατάθεση αιτήσεων έκδοσης Διαταγών Πληρωμής και Διαταγών Απόδοσης χρήσης μισθίου δεν πραγματοποιείται. Το αρχείο δημοσίευσης Διαταγών Πληρωμής θα εξυπηρετεί, μόνο την παραλαβή των διαταγών που δημοσιεύονται.</w:t>
      </w:r>
    </w:p>
    <w:p w:rsidR="006F08BA" w:rsidRDefault="00576004" w:rsidP="006F08BA">
      <w:pPr>
        <w:pStyle w:val="1"/>
        <w:numPr>
          <w:ilvl w:val="0"/>
          <w:numId w:val="1"/>
        </w:numPr>
        <w:shd w:val="clear" w:color="auto" w:fill="auto"/>
        <w:tabs>
          <w:tab w:val="left" w:pos="1134"/>
          <w:tab w:val="left" w:pos="1258"/>
        </w:tabs>
        <w:spacing w:after="500" w:line="391" w:lineRule="auto"/>
        <w:ind w:left="1134" w:right="461" w:firstLine="284"/>
        <w:jc w:val="both"/>
      </w:pPr>
      <w:r>
        <w:t>Το τμήμα</w:t>
      </w:r>
      <w:r w:rsidR="00D8620B">
        <w:t xml:space="preserve"> </w:t>
      </w:r>
      <w:r>
        <w:t xml:space="preserve"> </w:t>
      </w:r>
      <w:r w:rsidR="006F08BA">
        <w:t>Πιστοποιητικών</w:t>
      </w:r>
      <w:r w:rsidR="00D8620B">
        <w:t xml:space="preserve"> </w:t>
      </w:r>
      <w:r w:rsidR="006F08BA">
        <w:t>θα λειτουργεί</w:t>
      </w:r>
      <w:r w:rsidR="00D8620B">
        <w:t xml:space="preserve"> </w:t>
      </w:r>
      <w:r w:rsidR="006F08BA">
        <w:t xml:space="preserve">κανονικά από 08:30 π.μ. έως 14:30 μ.μ., τα αιτήματα θα αποστέλλονται </w:t>
      </w:r>
      <w:r w:rsidR="006F08BA" w:rsidRPr="006F08BA">
        <w:t xml:space="preserve"> </w:t>
      </w:r>
      <w:r w:rsidR="006F08BA">
        <w:t xml:space="preserve">μόνο ηλεκτρονικά στην ηλεκτρονική διεύθυνση </w:t>
      </w:r>
      <w:r w:rsidR="006F08BA" w:rsidRPr="006F08BA">
        <w:rPr>
          <w:lang w:val="en-US"/>
        </w:rPr>
        <w:t>e</w:t>
      </w:r>
      <w:r w:rsidR="006F08BA" w:rsidRPr="006F08BA">
        <w:t>-</w:t>
      </w:r>
      <w:r w:rsidR="006F08BA" w:rsidRPr="006F08BA">
        <w:rPr>
          <w:lang w:val="en-US"/>
        </w:rPr>
        <w:t>mail</w:t>
      </w:r>
      <w:r w:rsidR="006F08BA" w:rsidRPr="006F08BA">
        <w:t xml:space="preserve">: </w:t>
      </w:r>
      <w:hyperlink r:id="rId7" w:history="1">
        <w:r w:rsidR="006F08BA" w:rsidRPr="006F08BA">
          <w:rPr>
            <w:rStyle w:val="-"/>
            <w:lang w:val="en-US"/>
          </w:rPr>
          <w:t>polprotover</w:t>
        </w:r>
        <w:r w:rsidR="006F08BA" w:rsidRPr="00B445E3">
          <w:rPr>
            <w:rStyle w:val="-"/>
          </w:rPr>
          <w:t>@</w:t>
        </w:r>
        <w:r w:rsidR="006F08BA" w:rsidRPr="006F08BA">
          <w:rPr>
            <w:rStyle w:val="-"/>
            <w:lang w:val="en-US"/>
          </w:rPr>
          <w:t>yahoo</w:t>
        </w:r>
        <w:r w:rsidR="006F08BA" w:rsidRPr="00B445E3">
          <w:rPr>
            <w:rStyle w:val="-"/>
          </w:rPr>
          <w:t>.</w:t>
        </w:r>
        <w:r w:rsidR="006F08BA" w:rsidRPr="006F08BA">
          <w:rPr>
            <w:rStyle w:val="-"/>
            <w:lang w:val="en-US"/>
          </w:rPr>
          <w:t>gr</w:t>
        </w:r>
      </w:hyperlink>
      <w:r w:rsidR="006F08BA" w:rsidRPr="006F08BA">
        <w:t xml:space="preserve"> </w:t>
      </w:r>
      <w:r w:rsidR="006F08BA">
        <w:t xml:space="preserve">ή στην </w:t>
      </w:r>
      <w:hyperlink r:id="rId8" w:history="1">
        <w:r w:rsidR="006F08BA" w:rsidRPr="006F08BA">
          <w:rPr>
            <w:rStyle w:val="-"/>
            <w:lang w:val="en-US"/>
          </w:rPr>
          <w:t>protover</w:t>
        </w:r>
        <w:r w:rsidR="006F08BA" w:rsidRPr="00B445E3">
          <w:rPr>
            <w:rStyle w:val="-"/>
          </w:rPr>
          <w:t>@</w:t>
        </w:r>
        <w:r w:rsidR="006F08BA" w:rsidRPr="006F08BA">
          <w:rPr>
            <w:rStyle w:val="-"/>
            <w:lang w:val="en-US"/>
          </w:rPr>
          <w:t>otenet</w:t>
        </w:r>
        <w:r w:rsidR="006F08BA" w:rsidRPr="00B445E3">
          <w:rPr>
            <w:rStyle w:val="-"/>
          </w:rPr>
          <w:t>.</w:t>
        </w:r>
        <w:r w:rsidR="006F08BA" w:rsidRPr="006F08BA">
          <w:rPr>
            <w:rStyle w:val="-"/>
            <w:lang w:val="en-US"/>
          </w:rPr>
          <w:t>gr</w:t>
        </w:r>
      </w:hyperlink>
      <w:r w:rsidR="006F08BA" w:rsidRPr="006F08BA">
        <w:t xml:space="preserve">, </w:t>
      </w:r>
      <w:r w:rsidR="00875616">
        <w:t>και για εξαιρετικές περι</w:t>
      </w:r>
      <w:r w:rsidR="006F08BA">
        <w:t>πτώσεις κατόπιν τηλεφωνικού ραν</w:t>
      </w:r>
      <w:r w:rsidR="00875616">
        <w:t>τεβού με την γραμματεία στο τηλέφωνο</w:t>
      </w:r>
      <w:r w:rsidR="006F08BA">
        <w:t xml:space="preserve">  </w:t>
      </w:r>
      <w:r w:rsidR="006F08BA" w:rsidRPr="00875616">
        <w:rPr>
          <w:b/>
        </w:rPr>
        <w:t>2331032718, και 2331032738</w:t>
      </w:r>
      <w:r w:rsidR="006F08BA">
        <w:t xml:space="preserve">.  </w:t>
      </w:r>
    </w:p>
    <w:p w:rsidR="001009E3" w:rsidRDefault="00D8620B" w:rsidP="006F08BA">
      <w:pPr>
        <w:pStyle w:val="1"/>
        <w:numPr>
          <w:ilvl w:val="0"/>
          <w:numId w:val="1"/>
        </w:numPr>
        <w:shd w:val="clear" w:color="auto" w:fill="auto"/>
        <w:tabs>
          <w:tab w:val="left" w:pos="1134"/>
          <w:tab w:val="left" w:pos="1368"/>
        </w:tabs>
        <w:spacing w:after="520" w:line="410" w:lineRule="auto"/>
        <w:ind w:left="1134" w:right="461" w:firstLine="284"/>
        <w:jc w:val="both"/>
      </w:pPr>
      <w:r>
        <w:t xml:space="preserve">Για τις ποινικές δίκες ισχύουν τα ως άνω αναφερόμενα στην ΚΥΑ ενώ επισημαίνεται ότι με μέριμνα της Εισαγγελίας Πρωτοδικών </w:t>
      </w:r>
      <w:r w:rsidR="00576004">
        <w:t xml:space="preserve">Βέροιας </w:t>
      </w:r>
      <w:r>
        <w:t>θα δημοσιεύεται καθημερινά το έκθεμα με τις εκφωνούμενες, λόγω επικείμενης παραγραφής, υποθέσεις.</w:t>
      </w:r>
    </w:p>
    <w:p w:rsidR="00576004" w:rsidRDefault="00875616" w:rsidP="006F08BA">
      <w:pPr>
        <w:pStyle w:val="a5"/>
        <w:shd w:val="clear" w:color="auto" w:fill="auto"/>
        <w:tabs>
          <w:tab w:val="left" w:pos="1134"/>
        </w:tabs>
        <w:ind w:left="1134" w:right="461" w:firstLine="284"/>
        <w:jc w:val="both"/>
      </w:pPr>
      <w:r>
        <w:t xml:space="preserve">        </w:t>
      </w:r>
      <w:r w:rsidR="00576004">
        <w:t>Γνωστοποιείται ότι οι διευθύνσεις ηλεκτρονι</w:t>
      </w:r>
      <w:r w:rsidR="006F08BA">
        <w:t xml:space="preserve">κού ταχυδρομείου της γραμματείας του </w:t>
      </w:r>
      <w:r>
        <w:t xml:space="preserve"> </w:t>
      </w:r>
      <w:r w:rsidR="00576004">
        <w:t xml:space="preserve">Πρωτοδικείου </w:t>
      </w:r>
      <w:r w:rsidR="006F08BA">
        <w:t xml:space="preserve">Βέροιας  είναι οι 1. </w:t>
      </w:r>
      <w:hyperlink r:id="rId9" w:history="1">
        <w:r w:rsidR="006F08BA" w:rsidRPr="006F08BA">
          <w:rPr>
            <w:rStyle w:val="-"/>
            <w:lang w:val="en-US"/>
          </w:rPr>
          <w:t>protover</w:t>
        </w:r>
        <w:r w:rsidR="006F08BA" w:rsidRPr="00B445E3">
          <w:rPr>
            <w:rStyle w:val="-"/>
          </w:rPr>
          <w:t>@</w:t>
        </w:r>
        <w:r w:rsidR="006F08BA" w:rsidRPr="006F08BA">
          <w:rPr>
            <w:rStyle w:val="-"/>
            <w:lang w:val="en-US"/>
          </w:rPr>
          <w:t>otenet</w:t>
        </w:r>
        <w:r w:rsidR="006F08BA" w:rsidRPr="00B445E3">
          <w:rPr>
            <w:rStyle w:val="-"/>
          </w:rPr>
          <w:t>.</w:t>
        </w:r>
        <w:r w:rsidR="006F08BA" w:rsidRPr="006F08BA">
          <w:rPr>
            <w:rStyle w:val="-"/>
            <w:lang w:val="en-US"/>
          </w:rPr>
          <w:t>gr</w:t>
        </w:r>
      </w:hyperlink>
      <w:r>
        <w:t xml:space="preserve"> και 2. </w:t>
      </w:r>
      <w:hyperlink r:id="rId10" w:history="1">
        <w:r w:rsidR="006F08BA" w:rsidRPr="006F08BA">
          <w:rPr>
            <w:rStyle w:val="-"/>
            <w:lang w:val="en-US"/>
          </w:rPr>
          <w:t>polprotover</w:t>
        </w:r>
        <w:r w:rsidR="006F08BA" w:rsidRPr="00B445E3">
          <w:rPr>
            <w:rStyle w:val="-"/>
          </w:rPr>
          <w:t>@</w:t>
        </w:r>
        <w:r w:rsidR="006F08BA" w:rsidRPr="006F08BA">
          <w:rPr>
            <w:rStyle w:val="-"/>
            <w:lang w:val="en-US"/>
          </w:rPr>
          <w:t>yahoo</w:t>
        </w:r>
        <w:r w:rsidR="006F08BA" w:rsidRPr="00B445E3">
          <w:rPr>
            <w:rStyle w:val="-"/>
          </w:rPr>
          <w:t>.</w:t>
        </w:r>
        <w:r w:rsidR="006F08BA" w:rsidRPr="006F08BA">
          <w:rPr>
            <w:rStyle w:val="-"/>
            <w:lang w:val="en-US"/>
          </w:rPr>
          <w:t>gr</w:t>
        </w:r>
      </w:hyperlink>
      <w:r w:rsidR="006F08BA">
        <w:t xml:space="preserve"> </w:t>
      </w: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jc w:val="center"/>
      </w:pPr>
      <w:r>
        <w:t>Ο  ΠΡΟΕΔΡΟΣ ΠΡΩΤΟΔΙΚΩΝ</w:t>
      </w: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jc w:val="center"/>
      </w:pPr>
      <w:r>
        <w:t>ΓΕΩΡΓΙΟΣ  ΣΤΙΒΑΚΤΑΚΗΣ</w:t>
      </w: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rPr>
          <w:u w:val="single"/>
        </w:rPr>
      </w:pPr>
      <w:r w:rsidRPr="00875616">
        <w:rPr>
          <w:u w:val="single"/>
        </w:rPr>
        <w:t>ΚΟΙΝΟΠΟΙΗΣΗ</w:t>
      </w:r>
    </w:p>
    <w:p w:rsidR="00875616" w:rsidRPr="00875616" w:rsidRDefault="00875616" w:rsidP="00875616">
      <w:pPr>
        <w:pStyle w:val="a5"/>
        <w:shd w:val="clear" w:color="auto" w:fill="auto"/>
        <w:tabs>
          <w:tab w:val="left" w:pos="1134"/>
        </w:tabs>
        <w:ind w:left="1134" w:right="461" w:firstLine="284"/>
      </w:pPr>
      <w:r w:rsidRPr="00875616">
        <w:t>ΔΙΚΗΓΟΡΙΚΟ ΣΥΛΛΟΓΟ ΒΕΡΟΙΑΣ</w:t>
      </w:r>
    </w:p>
    <w:p w:rsidR="006F08BA" w:rsidRDefault="006F08BA" w:rsidP="006F08BA">
      <w:pPr>
        <w:pStyle w:val="a5"/>
        <w:shd w:val="clear" w:color="auto" w:fill="auto"/>
        <w:tabs>
          <w:tab w:val="left" w:pos="1134"/>
        </w:tabs>
        <w:ind w:left="1134" w:right="461" w:firstLine="284"/>
        <w:jc w:val="both"/>
      </w:pPr>
    </w:p>
    <w:p w:rsidR="001009E3" w:rsidRDefault="001009E3" w:rsidP="006F08BA">
      <w:pPr>
        <w:tabs>
          <w:tab w:val="left" w:pos="1134"/>
        </w:tabs>
        <w:spacing w:line="360" w:lineRule="exact"/>
        <w:ind w:left="1134" w:right="461" w:firstLine="284"/>
      </w:pPr>
    </w:p>
    <w:p w:rsidR="001009E3" w:rsidRDefault="001009E3" w:rsidP="006F08BA">
      <w:pPr>
        <w:tabs>
          <w:tab w:val="left" w:pos="1134"/>
        </w:tabs>
        <w:spacing w:line="360" w:lineRule="exact"/>
        <w:ind w:left="1134" w:right="461" w:firstLine="284"/>
      </w:pPr>
    </w:p>
    <w:p w:rsidR="001009E3" w:rsidRDefault="001009E3" w:rsidP="006F08BA">
      <w:pPr>
        <w:tabs>
          <w:tab w:val="left" w:pos="1134"/>
        </w:tabs>
        <w:spacing w:line="360" w:lineRule="exact"/>
        <w:ind w:left="1134" w:right="461" w:firstLine="284"/>
      </w:pPr>
    </w:p>
    <w:p w:rsidR="001009E3" w:rsidRDefault="001009E3" w:rsidP="006F08BA">
      <w:pPr>
        <w:tabs>
          <w:tab w:val="left" w:pos="1134"/>
        </w:tabs>
        <w:spacing w:line="360" w:lineRule="exact"/>
        <w:ind w:left="1134" w:right="461" w:firstLine="284"/>
      </w:pPr>
    </w:p>
    <w:p w:rsidR="001009E3" w:rsidRDefault="001009E3" w:rsidP="006F08BA">
      <w:pPr>
        <w:tabs>
          <w:tab w:val="left" w:pos="1134"/>
        </w:tabs>
        <w:spacing w:line="360" w:lineRule="exact"/>
        <w:ind w:left="1134" w:right="461" w:firstLine="284"/>
      </w:pPr>
    </w:p>
    <w:p w:rsidR="001009E3" w:rsidRDefault="001009E3" w:rsidP="006F08BA">
      <w:pPr>
        <w:tabs>
          <w:tab w:val="left" w:pos="1134"/>
        </w:tabs>
        <w:spacing w:after="359" w:line="1" w:lineRule="exact"/>
        <w:ind w:left="1134" w:right="461" w:firstLine="284"/>
      </w:pPr>
    </w:p>
    <w:p w:rsidR="001009E3" w:rsidRDefault="001009E3" w:rsidP="006F08BA">
      <w:pPr>
        <w:tabs>
          <w:tab w:val="left" w:pos="1134"/>
        </w:tabs>
        <w:spacing w:line="1" w:lineRule="exact"/>
        <w:ind w:left="1134" w:right="461" w:firstLine="284"/>
      </w:pPr>
    </w:p>
    <w:sectPr w:rsidR="001009E3">
      <w:type w:val="continuous"/>
      <w:pgSz w:w="11900" w:h="16840"/>
      <w:pgMar w:top="1688" w:right="1649" w:bottom="1688" w:left="10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38" w:rsidRDefault="00725B38">
      <w:r>
        <w:separator/>
      </w:r>
    </w:p>
  </w:endnote>
  <w:endnote w:type="continuationSeparator" w:id="0">
    <w:p w:rsidR="00725B38" w:rsidRDefault="0072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38" w:rsidRDefault="00725B38"/>
  </w:footnote>
  <w:footnote w:type="continuationSeparator" w:id="0">
    <w:p w:rsidR="00725B38" w:rsidRDefault="00725B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12C6"/>
    <w:multiLevelType w:val="multilevel"/>
    <w:tmpl w:val="DA349B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E3"/>
    <w:rsid w:val="00043479"/>
    <w:rsid w:val="001009E3"/>
    <w:rsid w:val="001D5A4D"/>
    <w:rsid w:val="003123A0"/>
    <w:rsid w:val="003E4E74"/>
    <w:rsid w:val="00424830"/>
    <w:rsid w:val="00576004"/>
    <w:rsid w:val="006B03FB"/>
    <w:rsid w:val="006F08BA"/>
    <w:rsid w:val="00725B38"/>
    <w:rsid w:val="007673E6"/>
    <w:rsid w:val="00875616"/>
    <w:rsid w:val="00964B20"/>
    <w:rsid w:val="00B00659"/>
    <w:rsid w:val="00D8620B"/>
    <w:rsid w:val="00F12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0C5B"/>
  <w15:docId w15:val="{C0DADFA1-48F0-4358-AA49-4EAE3BD3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Pr>
      <w:rFonts w:ascii="Arial" w:eastAsia="Arial" w:hAnsi="Arial" w:cs="Arial"/>
      <w:b w:val="0"/>
      <w:bCs w:val="0"/>
      <w:i w:val="0"/>
      <w:iCs w:val="0"/>
      <w:smallCaps w:val="0"/>
      <w:strike w:val="0"/>
      <w:sz w:val="19"/>
      <w:szCs w:val="19"/>
      <w:u w:val="none"/>
    </w:rPr>
  </w:style>
  <w:style w:type="character" w:customStyle="1" w:styleId="4">
    <w:name w:val="Σώμα κειμένου (4)_"/>
    <w:basedOn w:val="a0"/>
    <w:link w:val="40"/>
    <w:rPr>
      <w:rFonts w:ascii="Arial" w:eastAsia="Arial" w:hAnsi="Arial" w:cs="Arial"/>
      <w:b/>
      <w:bCs/>
      <w:i w:val="0"/>
      <w:iCs w:val="0"/>
      <w:smallCaps w:val="0"/>
      <w:strike w:val="0"/>
      <w:sz w:val="17"/>
      <w:szCs w:val="17"/>
      <w:u w:val="none"/>
    </w:rPr>
  </w:style>
  <w:style w:type="character" w:customStyle="1" w:styleId="a3">
    <w:name w:val="Σώμα κειμένου_"/>
    <w:basedOn w:val="a0"/>
    <w:link w:val="1"/>
    <w:rPr>
      <w:rFonts w:ascii="Arial" w:eastAsia="Arial" w:hAnsi="Arial" w:cs="Arial"/>
      <w:b w:val="0"/>
      <w:bCs w:val="0"/>
      <w:i w:val="0"/>
      <w:iCs w:val="0"/>
      <w:smallCaps w:val="0"/>
      <w:strike w:val="0"/>
      <w:sz w:val="22"/>
      <w:szCs w:val="22"/>
      <w:u w:val="none"/>
    </w:rPr>
  </w:style>
  <w:style w:type="character" w:customStyle="1" w:styleId="3">
    <w:name w:val="Σώμα κειμένου (3)_"/>
    <w:basedOn w:val="a0"/>
    <w:link w:val="30"/>
    <w:rPr>
      <w:rFonts w:ascii="Arial" w:eastAsia="Arial" w:hAnsi="Arial" w:cs="Arial"/>
      <w:b w:val="0"/>
      <w:bCs w:val="0"/>
      <w:i w:val="0"/>
      <w:iCs w:val="0"/>
      <w:smallCaps w:val="0"/>
      <w:strike w:val="0"/>
      <w:sz w:val="15"/>
      <w:szCs w:val="15"/>
      <w:u w:val="none"/>
    </w:rPr>
  </w:style>
  <w:style w:type="character" w:customStyle="1" w:styleId="a4">
    <w:name w:val="Λεζάντα πίνακα_"/>
    <w:basedOn w:val="a0"/>
    <w:link w:val="a5"/>
    <w:rPr>
      <w:rFonts w:ascii="Arial" w:eastAsia="Arial" w:hAnsi="Arial" w:cs="Arial"/>
      <w:b/>
      <w:bCs/>
      <w:i w:val="0"/>
      <w:iCs w:val="0"/>
      <w:smallCaps w:val="0"/>
      <w:strike w:val="0"/>
      <w:sz w:val="20"/>
      <w:szCs w:val="20"/>
      <w:u w:val="none"/>
    </w:rPr>
  </w:style>
  <w:style w:type="character" w:customStyle="1" w:styleId="a6">
    <w:name w:val="Άλλα_"/>
    <w:basedOn w:val="a0"/>
    <w:link w:val="a7"/>
    <w:rPr>
      <w:rFonts w:ascii="Arial" w:eastAsia="Arial" w:hAnsi="Arial" w:cs="Arial"/>
      <w:b w:val="0"/>
      <w:bCs w:val="0"/>
      <w:i w:val="0"/>
      <w:iCs w:val="0"/>
      <w:smallCaps w:val="0"/>
      <w:strike w:val="0"/>
      <w:sz w:val="22"/>
      <w:szCs w:val="22"/>
      <w:u w:val="none"/>
      <w:lang w:val="en-US" w:eastAsia="en-US" w:bidi="en-US"/>
    </w:rPr>
  </w:style>
  <w:style w:type="character" w:customStyle="1" w:styleId="a8">
    <w:name w:val="Λεζάντα εικόνας_"/>
    <w:basedOn w:val="a0"/>
    <w:link w:val="a9"/>
    <w:rPr>
      <w:rFonts w:ascii="Arial" w:eastAsia="Arial" w:hAnsi="Arial" w:cs="Arial"/>
      <w:b/>
      <w:bCs/>
      <w:i w:val="0"/>
      <w:iCs w:val="0"/>
      <w:smallCaps w:val="0"/>
      <w:strike w:val="0"/>
      <w:sz w:val="20"/>
      <w:szCs w:val="20"/>
      <w:u w:val="none"/>
    </w:rPr>
  </w:style>
  <w:style w:type="paragraph" w:customStyle="1" w:styleId="20">
    <w:name w:val="Σώμα κειμένου (2)"/>
    <w:basedOn w:val="a"/>
    <w:link w:val="2"/>
    <w:pPr>
      <w:shd w:val="clear" w:color="auto" w:fill="FFFFFF"/>
      <w:spacing w:after="70"/>
      <w:ind w:left="2410"/>
    </w:pPr>
    <w:rPr>
      <w:rFonts w:ascii="Arial" w:eastAsia="Arial" w:hAnsi="Arial" w:cs="Arial"/>
      <w:sz w:val="19"/>
      <w:szCs w:val="19"/>
    </w:rPr>
  </w:style>
  <w:style w:type="paragraph" w:customStyle="1" w:styleId="40">
    <w:name w:val="Σώμα κειμένου (4)"/>
    <w:basedOn w:val="a"/>
    <w:link w:val="4"/>
    <w:pPr>
      <w:shd w:val="clear" w:color="auto" w:fill="FFFFFF"/>
    </w:pPr>
    <w:rPr>
      <w:rFonts w:ascii="Arial" w:eastAsia="Arial" w:hAnsi="Arial" w:cs="Arial"/>
      <w:b/>
      <w:bCs/>
      <w:sz w:val="17"/>
      <w:szCs w:val="17"/>
    </w:rPr>
  </w:style>
  <w:style w:type="paragraph" w:customStyle="1" w:styleId="1">
    <w:name w:val="Σώμα κειμένου1"/>
    <w:basedOn w:val="a"/>
    <w:link w:val="a3"/>
    <w:pPr>
      <w:shd w:val="clear" w:color="auto" w:fill="FFFFFF"/>
      <w:spacing w:after="120" w:line="384" w:lineRule="auto"/>
      <w:ind w:firstLine="400"/>
    </w:pPr>
    <w:rPr>
      <w:rFonts w:ascii="Arial" w:eastAsia="Arial" w:hAnsi="Arial" w:cs="Arial"/>
      <w:sz w:val="22"/>
      <w:szCs w:val="22"/>
    </w:rPr>
  </w:style>
  <w:style w:type="paragraph" w:customStyle="1" w:styleId="30">
    <w:name w:val="Σώμα κειμένου (3)"/>
    <w:basedOn w:val="a"/>
    <w:link w:val="3"/>
    <w:pPr>
      <w:shd w:val="clear" w:color="auto" w:fill="FFFFFF"/>
      <w:spacing w:after="180"/>
      <w:ind w:left="510"/>
    </w:pPr>
    <w:rPr>
      <w:rFonts w:ascii="Arial" w:eastAsia="Arial" w:hAnsi="Arial" w:cs="Arial"/>
      <w:sz w:val="15"/>
      <w:szCs w:val="15"/>
    </w:rPr>
  </w:style>
  <w:style w:type="paragraph" w:customStyle="1" w:styleId="a5">
    <w:name w:val="Λεζάντα πίνακα"/>
    <w:basedOn w:val="a"/>
    <w:link w:val="a4"/>
    <w:pPr>
      <w:shd w:val="clear" w:color="auto" w:fill="FFFFFF"/>
      <w:spacing w:line="410" w:lineRule="auto"/>
      <w:ind w:firstLine="960"/>
    </w:pPr>
    <w:rPr>
      <w:rFonts w:ascii="Arial" w:eastAsia="Arial" w:hAnsi="Arial" w:cs="Arial"/>
      <w:b/>
      <w:bCs/>
      <w:sz w:val="20"/>
      <w:szCs w:val="20"/>
    </w:rPr>
  </w:style>
  <w:style w:type="paragraph" w:customStyle="1" w:styleId="a7">
    <w:name w:val="Άλλα"/>
    <w:basedOn w:val="a"/>
    <w:link w:val="a6"/>
    <w:pPr>
      <w:shd w:val="clear" w:color="auto" w:fill="FFFFFF"/>
      <w:spacing w:after="120" w:line="384" w:lineRule="auto"/>
      <w:ind w:firstLine="400"/>
    </w:pPr>
    <w:rPr>
      <w:rFonts w:ascii="Arial" w:eastAsia="Arial" w:hAnsi="Arial" w:cs="Arial"/>
      <w:sz w:val="22"/>
      <w:szCs w:val="22"/>
      <w:lang w:val="en-US" w:eastAsia="en-US" w:bidi="en-US"/>
    </w:rPr>
  </w:style>
  <w:style w:type="paragraph" w:customStyle="1" w:styleId="a9">
    <w:name w:val="Λεζάντα εικόνας"/>
    <w:basedOn w:val="a"/>
    <w:link w:val="a8"/>
    <w:pPr>
      <w:shd w:val="clear" w:color="auto" w:fill="FFFFFF"/>
      <w:spacing w:line="312" w:lineRule="auto"/>
    </w:pPr>
    <w:rPr>
      <w:rFonts w:ascii="Arial" w:eastAsia="Arial" w:hAnsi="Arial" w:cs="Arial"/>
      <w:b/>
      <w:bCs/>
      <w:sz w:val="20"/>
      <w:szCs w:val="20"/>
    </w:rPr>
  </w:style>
  <w:style w:type="character" w:styleId="-">
    <w:name w:val="Hyperlink"/>
    <w:basedOn w:val="a0"/>
    <w:uiPriority w:val="99"/>
    <w:unhideWhenUsed/>
    <w:rsid w:val="006F08BA"/>
    <w:rPr>
      <w:color w:val="0563C1" w:themeColor="hyperlink"/>
      <w:u w:val="single"/>
    </w:rPr>
  </w:style>
  <w:style w:type="paragraph" w:styleId="aa">
    <w:name w:val="List Paragraph"/>
    <w:basedOn w:val="a"/>
    <w:uiPriority w:val="34"/>
    <w:qFormat/>
    <w:rsid w:val="00043479"/>
    <w:pPr>
      <w:ind w:left="720"/>
      <w:contextualSpacing/>
    </w:pPr>
  </w:style>
  <w:style w:type="paragraph" w:styleId="ab">
    <w:name w:val="Balloon Text"/>
    <w:basedOn w:val="a"/>
    <w:link w:val="Char"/>
    <w:uiPriority w:val="99"/>
    <w:semiHidden/>
    <w:unhideWhenUsed/>
    <w:rsid w:val="00B00659"/>
    <w:rPr>
      <w:rFonts w:ascii="Segoe UI" w:hAnsi="Segoe UI" w:cs="Segoe UI"/>
      <w:sz w:val="18"/>
      <w:szCs w:val="18"/>
    </w:rPr>
  </w:style>
  <w:style w:type="character" w:customStyle="1" w:styleId="Char">
    <w:name w:val="Κείμενο πλαισίου Char"/>
    <w:basedOn w:val="a0"/>
    <w:link w:val="ab"/>
    <w:uiPriority w:val="99"/>
    <w:semiHidden/>
    <w:rsid w:val="00B0065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ver@otenet.gr" TargetMode="External"/><Relationship Id="rId3" Type="http://schemas.openxmlformats.org/officeDocument/2006/relationships/settings" Target="settings.xml"/><Relationship Id="rId7" Type="http://schemas.openxmlformats.org/officeDocument/2006/relationships/hyperlink" Target="mailto:polprotover@yaho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lprotover@yahoo.gr" TargetMode="External"/><Relationship Id="rId4" Type="http://schemas.openxmlformats.org/officeDocument/2006/relationships/webSettings" Target="webSettings.xml"/><Relationship Id="rId9" Type="http://schemas.openxmlformats.org/officeDocument/2006/relationships/hyperlink" Target="mailto:protov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1348</Words>
  <Characters>7282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Μαραντίδου</dc:creator>
  <cp:lastModifiedBy>protover@outlook.com.gr</cp:lastModifiedBy>
  <cp:revision>4</cp:revision>
  <cp:lastPrinted>2020-11-09T11:51:00Z</cp:lastPrinted>
  <dcterms:created xsi:type="dcterms:W3CDTF">2020-11-09T11:24:00Z</dcterms:created>
  <dcterms:modified xsi:type="dcterms:W3CDTF">2020-11-09T12:41:00Z</dcterms:modified>
</cp:coreProperties>
</file>